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એડમિનિસ્ટ્રેશન.doc ના પત્રોની અનુદાન પર બોન્ડ</w:t>
      </w:r>
    </w:p>
    <w:p w:rsidR="00000000" w:rsidDel="00000000" w:rsidP="00000000" w:rsidRDefault="00000000" w:rsidRPr="00000000" w14:paraId="00000002">
      <w:pPr>
        <w:shd w:fill="ffffff" w:val="clear"/>
        <w:spacing w:after="240" w:line="240" w:lineRule="auto"/>
        <w:jc w:val="center"/>
        <w:rPr>
          <w:color w:val="000000"/>
          <w:sz w:val="40"/>
          <w:szCs w:val="40"/>
        </w:rPr>
      </w:pPr>
      <w:r w:rsidDel="00000000" w:rsidR="00000000" w:rsidRPr="00000000">
        <w:rPr>
          <w:rtl w:val="0"/>
        </w:rPr>
      </w:r>
    </w:p>
    <w:p w:rsidR="00000000" w:rsidDel="00000000" w:rsidP="00000000" w:rsidRDefault="00000000" w:rsidRPr="00000000" w14:paraId="0000000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વહીવટના પત્રોની અનુદાન પર બોન્ડ</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બધા પુરુષોને જાણો કે અમે, એ.એ. વગેરે _ અને બી.બી. વગેરે . 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_________ પર અમારા દ્વારા સહી કરેલ. _________ નો દિવસ , 20 _________</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(હસ્તાક્ષર) </w:t>
        <w:br w:type="textWrapping"/>
        <w:br w:type="textWrapping"/>
        <w:t xml:space="preserve">જ્યારે _________ ના _________ દિવસે કરવામાં આવેલ ______________ ના ઉક્ત જિલ્લા ન્યાયાધીશની અદાલતના આદેશ દ્વારા, ઉપરોક્ત નામના એ.એ. YZ., મૃતકની એસ્ટેટના એડમિનિસ્ટ્રેટર તરીકે નિમણૂક કરવામાં આવી છે, જે એએને આધીન છે . રૂ </w:t>
        <w:br w:type="textWrapping"/>
        <w:br w:type="textWrapping"/>
        <w:t xml:space="preserve">અને જ્યારે કહ્યું એ.એ. ઉપરોક્ત બોન્ડમાં દાખલ થવા માટે સંમત થયા છે અને જણાવ્યું હતું કે BB. ઉક્ત AA માટે જામીન તરીકે ઉક્ત બોન્ડમાં દાખલ થવા સંમત થયા છે .</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હવે ઉપરોક્ત લેખિત બોન્ડની સ્થિતિ એવી છે કે જો એ.એ. YZ., મૃતકની એસ્ટેટના વહીવટના પત્રોની અનુદાનથી છ મહિનાની અંદર અથવા આ કોર્ટ નિમણૂક કરી શકે તેટલા વધુ સમયની અંદર, આ કોર્ટમાં તમામનો સંપૂર્ણ અને સાચો અંદાજ ધરાવતી ઇન્વેન્ટરી પ્રદર્શિત કરશે અને કરશે. મિલકત, કબજામાં, અને તમામ ક્રેડિટ્સ, તેમજ કોઈપણ વ્યક્તિ દ્વારા બાકી તમામ દેવાં કે જેના પર એ.એ. એડમિનિસ્ટ્રેટર તરીકે હકદાર છે, અને કરે છે અને કરશે, ઉક્ત ગ્રાન્ટના એક વર્ષની અંદર, અથવા તે કોર્ટ નિમણૂક કરી શકે તેટલા વધુ સમયની અંદર, ઉક્ત મૃતકની મિલકતનો હિસાબ દર્શાવશે, જે તેના હાથમાં આવી છે તે સંપત્તિ દર્શાવે છે અને જે રીતે તેઓ લાગુ કરવામાં આવ્યા છે અથવા તેનો નિકાલ કરવામાં આવ્યો છે, અને કાયદા અનુસાર ઉક્ત મિલકત, ક્રેડિટ્સ અને એસ્ટેટનો સારી રીતે અને સાચા અર્થમાં વહીવટ કરશે અને કરશે અને આવી વ્યક્તિ અથવા વ્યક્તિઓને કાયદેસર રીતે હકદાર હશે તે રીતે તેને પહોંચાડશે અને ચૂકવણી કરશે, ઉક્ત મિલકત, ક્રેડિટ્સ અને એસ્ટેટના તમામ બાકીના અને અવશેષો જે ઉક્ત વહીવટી ખાતામાં બાકી જોવા મળશે, તો ઉપરોક્ત લેખિત બોન્ડ રદબાતલ થશે પરંતુ અન્યથા તે સંપૂર્ણ અમલમાં રહેશે.</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સહી વગેરે. </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5A6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i5vv44eKQpRZyMleBXbWrPqYQ==">CgMxLjAyCGguZ2pkZ3hzOAByITF3Nmc0ekZPNHZXd05yWGZxWUpCMjVpelotVVBQOTFtMw==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2018-03-07T13:54:00Z</dcterms:created>
  <dc:creator>Lenovo</dc:creator>
</cp:coreProperties>
</file>